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4584D138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F63F09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F63F09">
        <w:t>40</w:t>
      </w:r>
      <w:r w:rsidR="007E2023">
        <w:t>1558</w:t>
      </w:r>
    </w:p>
    <w:p w14:paraId="1DB284EA" w14:textId="0D00939F" w:rsidR="007547CD" w:rsidRPr="00276F20" w:rsidRDefault="00F63F09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Athens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F63F09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F626A0C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</w:t>
      </w:r>
      <w:r w:rsidR="00235A4C">
        <w:rPr>
          <w:sz w:val="22"/>
        </w:rPr>
        <w:t>25</w:t>
      </w:r>
      <w:r w:rsidR="00726C13">
        <w:rPr>
          <w:sz w:val="22"/>
        </w:rPr>
        <w:t>.6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2B448F4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45F2">
        <w:rPr>
          <w:sz w:val="22"/>
        </w:rPr>
        <w:t>On</w:t>
      </w:r>
      <w:r w:rsidR="00DB4D62">
        <w:rPr>
          <w:sz w:val="22"/>
        </w:rPr>
        <w:t xml:space="preserve"> the demodulation requirement for mIAB-MT and mIAB-DU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2CEBB41B" w:rsidR="00473F84" w:rsidRDefault="0019703D" w:rsidP="00473F84">
      <w:pPr>
        <w:spacing w:afterLines="50" w:after="120"/>
        <w:rPr>
          <w:lang w:eastAsia="ja-JP"/>
        </w:rPr>
      </w:pPr>
      <w:bookmarkStart w:id="2" w:name="_Hlk528680199"/>
      <w:r w:rsidRPr="00E177B2">
        <w:rPr>
          <w:lang w:eastAsia="ja-JP"/>
        </w:rPr>
        <w:t xml:space="preserve">After the last RAN4 #109 meeting’s discussion, the general </w:t>
      </w:r>
      <w:r w:rsidR="00E177B2">
        <w:rPr>
          <w:lang w:eastAsia="ja-JP"/>
        </w:rPr>
        <w:t>principal for the demodulation requirements for mIAB-MT and mIAB-DU has been agreed</w:t>
      </w:r>
      <w:r w:rsidR="00C37684">
        <w:rPr>
          <w:lang w:eastAsia="ja-JP"/>
        </w:rPr>
        <w:t xml:space="preserve"> as follows</w:t>
      </w:r>
      <w:r w:rsidR="00504D87">
        <w:rPr>
          <w:lang w:eastAsia="ja-JP"/>
        </w:rPr>
        <w:t xml:space="preserve"> [1]</w:t>
      </w:r>
      <w:r w:rsidR="00C37684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7684" w14:paraId="7CE15AB1" w14:textId="77777777" w:rsidTr="00C37684">
        <w:tc>
          <w:tcPr>
            <w:tcW w:w="9350" w:type="dxa"/>
          </w:tcPr>
          <w:p w14:paraId="32D5C01E" w14:textId="77777777" w:rsidR="00E71702" w:rsidRPr="0096657E" w:rsidRDefault="00E71702" w:rsidP="00E71702">
            <w:pPr>
              <w:rPr>
                <w:rFonts w:eastAsia="SimSun"/>
                <w:b/>
                <w:u w:val="single"/>
                <w:lang w:eastAsia="ko-KR"/>
              </w:rPr>
            </w:pPr>
            <w:r w:rsidRPr="0096657E">
              <w:rPr>
                <w:rFonts w:eastAsia="SimSun"/>
                <w:b/>
                <w:u w:val="single"/>
                <w:lang w:eastAsia="ko-KR"/>
              </w:rPr>
              <w:t>Issue 2-1-1: How to define demodulation requirements for mIAB-MT?</w:t>
            </w:r>
          </w:p>
          <w:p w14:paraId="4D380E79" w14:textId="77777777" w:rsidR="00E71702" w:rsidRPr="008A256B" w:rsidRDefault="00E71702" w:rsidP="00E71702">
            <w:pPr>
              <w:spacing w:after="120"/>
              <w:rPr>
                <w:szCs w:val="24"/>
              </w:rPr>
            </w:pPr>
            <w:r w:rsidRPr="008A256B">
              <w:rPr>
                <w:b/>
                <w:bCs/>
                <w:szCs w:val="24"/>
              </w:rPr>
              <w:t>Agreement</w:t>
            </w:r>
            <w:r w:rsidRPr="008A256B">
              <w:rPr>
                <w:szCs w:val="24"/>
              </w:rPr>
              <w:t xml:space="preserve">:  </w:t>
            </w:r>
          </w:p>
          <w:p w14:paraId="7A900E0C" w14:textId="77777777" w:rsidR="00E71702" w:rsidRPr="004E0AE9" w:rsidRDefault="00E71702" w:rsidP="00E71702">
            <w:pPr>
              <w:spacing w:after="120"/>
              <w:rPr>
                <w:szCs w:val="24"/>
              </w:rPr>
            </w:pPr>
            <w:r w:rsidRPr="008A256B">
              <w:rPr>
                <w:szCs w:val="24"/>
              </w:rPr>
              <w:t>Reuse applicable UE demodulation requirements in 38.101-4, and further discuss how to choose corresponding test cases.</w:t>
            </w:r>
            <w:r>
              <w:rPr>
                <w:szCs w:val="24"/>
              </w:rPr>
              <w:t xml:space="preserve"> </w:t>
            </w:r>
          </w:p>
          <w:p w14:paraId="7DB3757F" w14:textId="77777777" w:rsidR="00A54E46" w:rsidRDefault="00A54E46" w:rsidP="00A54E46">
            <w:pPr>
              <w:rPr>
                <w:b/>
                <w:u w:val="single"/>
                <w:lang w:eastAsia="ko-KR"/>
              </w:rPr>
            </w:pPr>
            <w:r w:rsidRPr="006C4FD3">
              <w:rPr>
                <w:b/>
                <w:u w:val="single"/>
                <w:lang w:eastAsia="ko-KR"/>
              </w:rPr>
              <w:t>Issue 3-1: Whether to define new additional demodulation requirements for mIAB-DU?</w:t>
            </w:r>
          </w:p>
          <w:p w14:paraId="68AF8A29" w14:textId="77777777" w:rsidR="00A54E46" w:rsidRDefault="00A54E46" w:rsidP="00A54E46">
            <w:r w:rsidRPr="00355B4F">
              <w:rPr>
                <w:b/>
                <w:bCs/>
              </w:rPr>
              <w:t>Agreement</w:t>
            </w:r>
            <w:r>
              <w:t xml:space="preserve">: </w:t>
            </w:r>
          </w:p>
          <w:p w14:paraId="5A6C03F9" w14:textId="26BA9E4C" w:rsidR="00C37684" w:rsidRDefault="00A54E46" w:rsidP="00E56E5B">
            <w:r>
              <w:t>Do not define new additional demodulation requirements for mIAB-DU.</w:t>
            </w:r>
          </w:p>
        </w:tc>
      </w:tr>
    </w:tbl>
    <w:p w14:paraId="5406EAC5" w14:textId="77777777" w:rsidR="00C37684" w:rsidRDefault="00C37684" w:rsidP="00473F84">
      <w:pPr>
        <w:spacing w:afterLines="50" w:after="120"/>
        <w:rPr>
          <w:lang w:eastAsia="ja-JP"/>
        </w:rPr>
      </w:pPr>
    </w:p>
    <w:p w14:paraId="1840AF18" w14:textId="72ACBB30" w:rsidR="00C37684" w:rsidRPr="00E177B2" w:rsidRDefault="00884AD1" w:rsidP="00473F84">
      <w:pPr>
        <w:spacing w:afterLines="50" w:after="120"/>
        <w:rPr>
          <w:lang w:eastAsia="ja-JP"/>
        </w:rPr>
      </w:pPr>
      <w:r>
        <w:rPr>
          <w:lang w:eastAsia="ja-JP"/>
        </w:rPr>
        <w:t xml:space="preserve">It is undetermined </w:t>
      </w:r>
      <w:r w:rsidR="00004FBE">
        <w:rPr>
          <w:lang w:eastAsia="ja-JP"/>
        </w:rPr>
        <w:t xml:space="preserve">which cases to be selected for </w:t>
      </w:r>
      <w:r w:rsidR="00AF00CC">
        <w:rPr>
          <w:lang w:eastAsia="ja-JP"/>
        </w:rPr>
        <w:t xml:space="preserve">each channel and CSI reporting. In this contribution, we provided our views on </w:t>
      </w:r>
      <w:r w:rsidR="00982F95">
        <w:rPr>
          <w:lang w:eastAsia="ja-JP"/>
        </w:rPr>
        <w:t xml:space="preserve">the test cases scope and </w:t>
      </w:r>
      <w:r w:rsidR="00EB765B">
        <w:rPr>
          <w:lang w:eastAsia="ja-JP"/>
        </w:rPr>
        <w:t>test applicability rule for both mIAB-MT and mIAB-DU.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76C6826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m</w:t>
      </w:r>
      <w:r w:rsidR="00270D4C">
        <w:rPr>
          <w:rFonts w:ascii="Arial" w:eastAsia="MS Mincho" w:hAnsi="Arial" w:cs="Times New Roman"/>
          <w:sz w:val="32"/>
          <w:szCs w:val="20"/>
          <w:lang w:val="en-GB" w:eastAsia="ja-JP"/>
        </w:rPr>
        <w:t>I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AB-MT</w:t>
      </w:r>
    </w:p>
    <w:p w14:paraId="0E55EDF7" w14:textId="533784CA" w:rsidR="0058682F" w:rsidRDefault="0058682F" w:rsidP="00F06CFD">
      <w:r>
        <w:t xml:space="preserve">For mIAB-MT, it’s agreed to introduce demodulation requirements for PDSCH, </w:t>
      </w:r>
      <w:r>
        <w:rPr>
          <w:rFonts w:hint="eastAsia"/>
        </w:rPr>
        <w:t>PDCC</w:t>
      </w:r>
      <w:r>
        <w:t xml:space="preserve">H and CSI reporting. </w:t>
      </w:r>
      <w:r w:rsidR="00625F9F">
        <w:t xml:space="preserve">For CSI reporting, especially, we propose to </w:t>
      </w:r>
      <w:r w:rsidR="00AD7BE5">
        <w:t>reuse legacy</w:t>
      </w:r>
      <w:r w:rsidR="00625F9F">
        <w:t xml:space="preserve"> </w:t>
      </w:r>
      <w:r w:rsidR="00AD7BE5">
        <w:t>normal UE requirement</w:t>
      </w:r>
      <w:r w:rsidR="006345EE">
        <w:t xml:space="preserve"> </w:t>
      </w:r>
      <w:r w:rsidR="00336725">
        <w:t>for which</w:t>
      </w:r>
      <w:r w:rsidR="006345EE">
        <w:t xml:space="preserve"> the moving vehicle is quite </w:t>
      </w:r>
      <w:proofErr w:type="gramStart"/>
      <w:r w:rsidR="006345EE">
        <w:t>similar to</w:t>
      </w:r>
      <w:proofErr w:type="gramEnd"/>
      <w:r w:rsidR="006D7F20">
        <w:t xml:space="preserve"> rather than a </w:t>
      </w:r>
      <w:r w:rsidR="004461F8">
        <w:t xml:space="preserve">fixed point as </w:t>
      </w:r>
      <w:r w:rsidR="002E3084">
        <w:t>Rel-</w:t>
      </w:r>
      <w:r w:rsidR="009D6156">
        <w:t>16/</w:t>
      </w:r>
      <w:r w:rsidR="002E3084">
        <w:t>17 IAB-MT. Thus, we propose</w:t>
      </w:r>
      <w:r w:rsidR="009D49A4">
        <w:t xml:space="preserve"> option 2 to reuse applicable legacy UE CSI requirements.</w:t>
      </w:r>
    </w:p>
    <w:p w14:paraId="639E5D54" w14:textId="53B86BF4" w:rsidR="0058682F" w:rsidRPr="00F926CE" w:rsidRDefault="009D49A4" w:rsidP="00F06CFD">
      <w:pPr>
        <w:rPr>
          <w:b/>
          <w:bCs/>
          <w:i/>
          <w:iCs/>
        </w:rPr>
      </w:pPr>
      <w:r w:rsidRPr="00F926CE">
        <w:rPr>
          <w:b/>
          <w:bCs/>
          <w:i/>
          <w:iCs/>
        </w:rPr>
        <w:t>Proposal 1:</w:t>
      </w:r>
      <w:r w:rsidR="007F266C" w:rsidRPr="00F926CE">
        <w:rPr>
          <w:b/>
          <w:bCs/>
          <w:i/>
          <w:iCs/>
        </w:rPr>
        <w:t xml:space="preserve"> Option 2: Reuse applicable legacy UE CSI requirements.</w:t>
      </w:r>
    </w:p>
    <w:p w14:paraId="3F40067F" w14:textId="7D9B5828" w:rsidR="0058682F" w:rsidRDefault="00504D87" w:rsidP="00F06CFD">
      <w:r>
        <w:t>As for the channel model, following options are 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648C" w14:paraId="43C71504" w14:textId="77777777" w:rsidTr="0038648C">
        <w:tc>
          <w:tcPr>
            <w:tcW w:w="9350" w:type="dxa"/>
          </w:tcPr>
          <w:p w14:paraId="20ACC75E" w14:textId="77777777" w:rsidR="00EC2F31" w:rsidRDefault="00EC2F31" w:rsidP="00EC2F31">
            <w:pPr>
              <w:rPr>
                <w:b/>
                <w:u w:val="single"/>
              </w:rPr>
            </w:pPr>
            <w:r w:rsidRPr="000A1B37">
              <w:rPr>
                <w:b/>
                <w:u w:val="single"/>
                <w:lang w:eastAsia="ko-KR"/>
              </w:rPr>
              <w:t xml:space="preserve">Issue 2-2-2: </w:t>
            </w:r>
            <w:r w:rsidRPr="000A1B37">
              <w:rPr>
                <w:b/>
                <w:u w:val="single"/>
              </w:rPr>
              <w:t>Channel model</w:t>
            </w:r>
          </w:p>
          <w:p w14:paraId="1F6915C0" w14:textId="77777777" w:rsidR="00EC2F31" w:rsidRPr="004057C3" w:rsidRDefault="00EC2F31" w:rsidP="00EC2F31">
            <w:pPr>
              <w:rPr>
                <w:b/>
              </w:rPr>
            </w:pPr>
            <w:r w:rsidRPr="004057C3">
              <w:rPr>
                <w:b/>
              </w:rPr>
              <w:t xml:space="preserve">Way forward: </w:t>
            </w:r>
          </w:p>
          <w:p w14:paraId="1D742DDC" w14:textId="77777777" w:rsidR="00EC2F31" w:rsidRPr="004F263D" w:rsidRDefault="00EC2F31" w:rsidP="00EC2F31">
            <w:pPr>
              <w:pStyle w:val="ListParagraph"/>
              <w:widowControl/>
              <w:numPr>
                <w:ilvl w:val="0"/>
                <w:numId w:val="3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F263D">
              <w:rPr>
                <w:rFonts w:eastAsia="SimSun"/>
                <w:szCs w:val="24"/>
              </w:rPr>
              <w:t xml:space="preserve">Option 1: TDLC300-100. </w:t>
            </w:r>
          </w:p>
          <w:p w14:paraId="0D1012DD" w14:textId="77777777" w:rsidR="00EC2F31" w:rsidRPr="004F263D" w:rsidRDefault="00EC2F31" w:rsidP="00EC2F31">
            <w:pPr>
              <w:pStyle w:val="ListParagraph"/>
              <w:widowControl/>
              <w:numPr>
                <w:ilvl w:val="0"/>
                <w:numId w:val="3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F263D">
              <w:rPr>
                <w:rFonts w:eastAsia="SimSun"/>
                <w:szCs w:val="24"/>
              </w:rPr>
              <w:lastRenderedPageBreak/>
              <w:t xml:space="preserve">Option 2: TDLB100-400 for PDSCH and TDLC300-100 for PDCCH. </w:t>
            </w:r>
          </w:p>
          <w:p w14:paraId="3CB055C4" w14:textId="77777777" w:rsidR="00EC2F31" w:rsidRPr="004F263D" w:rsidRDefault="00EC2F31" w:rsidP="00EC2F31">
            <w:pPr>
              <w:pStyle w:val="ListParagraph"/>
              <w:widowControl/>
              <w:numPr>
                <w:ilvl w:val="0"/>
                <w:numId w:val="3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F263D">
              <w:rPr>
                <w:rFonts w:eastAsia="SimSun"/>
                <w:szCs w:val="24"/>
              </w:rPr>
              <w:t xml:space="preserve">Option 3: With increased Doppler frequencies compared to Rel-16/17 IAB-MT requirements. </w:t>
            </w:r>
          </w:p>
          <w:p w14:paraId="6C34E1CB" w14:textId="629A03DA" w:rsidR="0038648C" w:rsidRPr="00EC2F31" w:rsidRDefault="00EC2F31" w:rsidP="00EC2F31">
            <w:pPr>
              <w:pStyle w:val="ListParagraph"/>
              <w:widowControl/>
              <w:numPr>
                <w:ilvl w:val="0"/>
                <w:numId w:val="3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F263D">
              <w:rPr>
                <w:rFonts w:eastAsia="SimSun"/>
                <w:szCs w:val="24"/>
              </w:rPr>
              <w:t xml:space="preserve">Option 4: Other options are not precluded. </w:t>
            </w:r>
          </w:p>
        </w:tc>
      </w:tr>
    </w:tbl>
    <w:p w14:paraId="38B0A7AF" w14:textId="77777777" w:rsidR="00504D87" w:rsidRDefault="00504D87" w:rsidP="00F06CFD"/>
    <w:p w14:paraId="1A9D4773" w14:textId="09EDC2B0" w:rsidR="0058682F" w:rsidRDefault="00D93B6A" w:rsidP="00F06CFD">
      <w:r>
        <w:t xml:space="preserve">With normal UE speed taken into consideration, </w:t>
      </w:r>
      <w:r w:rsidR="00E91A44">
        <w:t xml:space="preserve">option1: TDLC300-100 is of our opinion to be selected for both PDSCH and PDCCH, </w:t>
      </w:r>
      <w:r w:rsidR="00CD64A0">
        <w:t>as it</w:t>
      </w:r>
      <w:r w:rsidR="00C464C5">
        <w:t xml:space="preserve">’s widely used in legacy NR Rel-15/16/17 UE demodulation requirements </w:t>
      </w:r>
      <w:r w:rsidR="003962A7">
        <w:t>because of its reflection of</w:t>
      </w:r>
      <w:r w:rsidR="00CD64A0">
        <w:t xml:space="preserve"> a relative normal Doppler shift</w:t>
      </w:r>
      <w:r w:rsidR="00C464C5">
        <w:t xml:space="preserve"> with fading channel condition. </w:t>
      </w:r>
    </w:p>
    <w:p w14:paraId="14367706" w14:textId="64E79FAD" w:rsidR="00EB3B62" w:rsidRPr="007D51DA" w:rsidRDefault="00CD0A01" w:rsidP="00F06CFD">
      <w:pPr>
        <w:rPr>
          <w:b/>
          <w:bCs/>
          <w:i/>
          <w:iCs/>
        </w:rPr>
      </w:pPr>
      <w:r w:rsidRPr="007D51DA">
        <w:rPr>
          <w:b/>
          <w:bCs/>
          <w:i/>
          <w:iCs/>
        </w:rPr>
        <w:t>Proposal 2: Option 1: TDLC300-100 for both PDSCH and PDCCH</w:t>
      </w:r>
      <w:r w:rsidR="007D51DA" w:rsidRPr="007D51DA">
        <w:rPr>
          <w:b/>
          <w:bCs/>
          <w:i/>
          <w:iCs/>
        </w:rPr>
        <w:t>.</w:t>
      </w:r>
    </w:p>
    <w:p w14:paraId="529E94DD" w14:textId="7353AADF" w:rsidR="00EB3B62" w:rsidRDefault="00440C0A" w:rsidP="00F06CFD">
      <w:r>
        <w:t>For Conducted test</w:t>
      </w:r>
      <w:r w:rsidR="00C2578D">
        <w:t xml:space="preserve">, </w:t>
      </w:r>
      <w:r w:rsidR="00D52A5B">
        <w:t>consider 4Rx as the starting point for demodulation requirements.</w:t>
      </w:r>
      <w:r w:rsidR="006A0F14">
        <w:t xml:space="preserve"> Both 1Tx and 2Tx can be considered for PDCCH antenna configuration. </w:t>
      </w:r>
      <w:r w:rsidR="00457C27">
        <w:t xml:space="preserve">Following </w:t>
      </w:r>
      <w:r w:rsidR="00F64B28">
        <w:t>legacy requirement</w:t>
      </w:r>
      <w:r w:rsidR="00A36DC2">
        <w:t>s</w:t>
      </w:r>
      <w:r w:rsidR="00F64B28">
        <w:t xml:space="preserve"> can be considered:</w:t>
      </w:r>
    </w:p>
    <w:p w14:paraId="02EBEE9B" w14:textId="62367F7D" w:rsidR="00F64B28" w:rsidRDefault="0080761D" w:rsidP="00A77F0A">
      <w:pPr>
        <w:pStyle w:val="ListParagraph"/>
        <w:numPr>
          <w:ilvl w:val="0"/>
          <w:numId w:val="33"/>
        </w:numPr>
        <w:spacing w:line="360" w:lineRule="auto"/>
        <w:ind w:firstLineChars="0"/>
      </w:pPr>
      <w:r>
        <w:t>PDSCH</w:t>
      </w:r>
      <w:r w:rsidR="00FA39E8">
        <w:t>: test num. 1-2, 1-4</w:t>
      </w:r>
      <w:r w:rsidR="00761DC1">
        <w:t xml:space="preserve"> in table </w:t>
      </w:r>
      <w:r w:rsidR="00F944A4">
        <w:t>5.2.3.1.1-</w:t>
      </w:r>
      <w:r w:rsidR="00FA00C9">
        <w:t>3</w:t>
      </w:r>
      <w:r w:rsidR="00713FBB">
        <w:t xml:space="preserve"> (FDD)</w:t>
      </w:r>
      <w:r w:rsidR="00F944A4">
        <w:t>, test num. 1-2, 1-4</w:t>
      </w:r>
      <w:r w:rsidR="00713FBB">
        <w:t xml:space="preserve"> in table 5.2.3.2.1-3 (TDD)</w:t>
      </w:r>
    </w:p>
    <w:p w14:paraId="32EE421C" w14:textId="382BC8E6" w:rsidR="00A77F0A" w:rsidRDefault="00A77F0A" w:rsidP="00A77F0A">
      <w:pPr>
        <w:pStyle w:val="ListParagraph"/>
        <w:numPr>
          <w:ilvl w:val="0"/>
          <w:numId w:val="33"/>
        </w:numPr>
        <w:spacing w:line="360" w:lineRule="auto"/>
        <w:ind w:firstLineChars="0"/>
      </w:pPr>
      <w:r>
        <w:t xml:space="preserve">PDCCH: </w:t>
      </w:r>
      <w:r w:rsidR="005C31B2">
        <w:t>test num. 2</w:t>
      </w:r>
      <w:r w:rsidR="00800738">
        <w:t xml:space="preserve"> in table 5.3.</w:t>
      </w:r>
      <w:r w:rsidR="00E12240">
        <w:t>3</w:t>
      </w:r>
      <w:r w:rsidR="00800738">
        <w:t xml:space="preserve">.1.1-1 (FDD, 1Tx), test num. </w:t>
      </w:r>
      <w:r w:rsidR="00382E72">
        <w:t>1 and 2 in table 5.3.3.1.2-1 (FDD, 2Tx), test n</w:t>
      </w:r>
      <w:r w:rsidR="0064301B">
        <w:t xml:space="preserve">um. 2 in table 5.3.3.2.1-1 (TDD, 1Tx), test num. 1 in table </w:t>
      </w:r>
      <w:r w:rsidR="000C6316">
        <w:t>5.3.3.2.2-1 (TDD, 2Tx)</w:t>
      </w:r>
    </w:p>
    <w:p w14:paraId="4DD84C18" w14:textId="02A2636C" w:rsidR="00C2578D" w:rsidRDefault="00A77F0A" w:rsidP="00A77F0A">
      <w:pPr>
        <w:pStyle w:val="ListParagraph"/>
        <w:numPr>
          <w:ilvl w:val="0"/>
          <w:numId w:val="33"/>
        </w:numPr>
        <w:spacing w:line="360" w:lineRule="auto"/>
        <w:ind w:firstLineChars="0"/>
      </w:pPr>
      <w:r>
        <w:t>CSI reporting:</w:t>
      </w:r>
      <w:r w:rsidR="00E654A5">
        <w:t xml:space="preserve"> </w:t>
      </w:r>
    </w:p>
    <w:p w14:paraId="0D170BD5" w14:textId="2744F312" w:rsidR="00E654A5" w:rsidRDefault="00E654A5" w:rsidP="00E654A5">
      <w:pPr>
        <w:pStyle w:val="ListParagraph"/>
        <w:numPr>
          <w:ilvl w:val="1"/>
          <w:numId w:val="33"/>
        </w:numPr>
        <w:spacing w:line="360" w:lineRule="auto"/>
        <w:ind w:firstLineChars="0"/>
      </w:pPr>
      <w:r>
        <w:t>CQI reporting: tests in 6.2.3.1.2 and 6.2.3.2.2</w:t>
      </w:r>
    </w:p>
    <w:p w14:paraId="47B7118D" w14:textId="1D0A9923" w:rsidR="00E654A5" w:rsidRDefault="00E654A5" w:rsidP="00E654A5">
      <w:pPr>
        <w:pStyle w:val="ListParagraph"/>
        <w:numPr>
          <w:ilvl w:val="1"/>
          <w:numId w:val="33"/>
        </w:numPr>
        <w:spacing w:line="360" w:lineRule="auto"/>
        <w:ind w:firstLineChars="0"/>
      </w:pPr>
      <w:r>
        <w:t xml:space="preserve">PMI reporting: tests in </w:t>
      </w:r>
      <w:r w:rsidR="00E04361">
        <w:t>6.3.3.1 and 6.3.3.2</w:t>
      </w:r>
    </w:p>
    <w:p w14:paraId="03A23CF6" w14:textId="77A220AE" w:rsidR="00A169D6" w:rsidRDefault="00A169D6" w:rsidP="00E654A5">
      <w:pPr>
        <w:pStyle w:val="ListParagraph"/>
        <w:numPr>
          <w:ilvl w:val="1"/>
          <w:numId w:val="33"/>
        </w:numPr>
        <w:spacing w:line="360" w:lineRule="auto"/>
        <w:ind w:firstLineChars="0"/>
      </w:pPr>
      <w:r>
        <w:t xml:space="preserve">RI reporting: tests in </w:t>
      </w:r>
      <w:r w:rsidR="00021B2E">
        <w:t>6.4.3</w:t>
      </w:r>
    </w:p>
    <w:p w14:paraId="6319FF94" w14:textId="32EC3AB0" w:rsidR="00C2578D" w:rsidRDefault="00C2578D" w:rsidP="00F06CFD">
      <w:r>
        <w:t xml:space="preserve">For OTA tests, </w:t>
      </w:r>
      <w:r w:rsidR="00340CC8">
        <w:t xml:space="preserve">consider 2Rx for </w:t>
      </w:r>
      <w:r w:rsidR="00ED1ED7">
        <w:t>PDSCH and PDCCH</w:t>
      </w:r>
      <w:r w:rsidR="00340CC8">
        <w:t xml:space="preserve"> demo</w:t>
      </w:r>
      <w:r w:rsidR="00ED1ED7">
        <w:t xml:space="preserve">dulation requirements. Both 1Tx and 2Tx can be considered for PDCCH </w:t>
      </w:r>
      <w:r w:rsidR="00A36DC2">
        <w:t>antenna configuration. Following legacy requirements can be considered:</w:t>
      </w:r>
    </w:p>
    <w:p w14:paraId="717F963B" w14:textId="67A6224A" w:rsidR="00A36DC2" w:rsidRDefault="006E603A" w:rsidP="006E603A">
      <w:pPr>
        <w:pStyle w:val="ListParagraph"/>
        <w:numPr>
          <w:ilvl w:val="0"/>
          <w:numId w:val="34"/>
        </w:numPr>
        <w:spacing w:line="360" w:lineRule="auto"/>
        <w:ind w:firstLineChars="0"/>
      </w:pPr>
      <w:r>
        <w:t>PDSCH:</w:t>
      </w:r>
      <w:r w:rsidR="008565A1">
        <w:t xml:space="preserve"> Test num. 1-1, 1-2, 1-3 in table 7.2.2.2.1-3</w:t>
      </w:r>
    </w:p>
    <w:p w14:paraId="0C0B919E" w14:textId="19C1B371" w:rsidR="006E603A" w:rsidRDefault="006E603A" w:rsidP="006E603A">
      <w:pPr>
        <w:pStyle w:val="ListParagraph"/>
        <w:numPr>
          <w:ilvl w:val="0"/>
          <w:numId w:val="34"/>
        </w:numPr>
        <w:spacing w:line="360" w:lineRule="auto"/>
        <w:ind w:firstLineChars="0"/>
      </w:pPr>
      <w:r>
        <w:t>PDCCH:</w:t>
      </w:r>
      <w:r w:rsidR="00623851">
        <w:t xml:space="preserve"> 7.3.2.2.1 and </w:t>
      </w:r>
      <w:r w:rsidR="00C338F6">
        <w:t>7.3.2.2.1</w:t>
      </w:r>
    </w:p>
    <w:p w14:paraId="10140395" w14:textId="28892711" w:rsidR="00C2578D" w:rsidRDefault="006E603A" w:rsidP="006E603A">
      <w:pPr>
        <w:pStyle w:val="ListParagraph"/>
        <w:numPr>
          <w:ilvl w:val="0"/>
          <w:numId w:val="34"/>
        </w:numPr>
        <w:spacing w:line="360" w:lineRule="auto"/>
        <w:ind w:firstLineChars="0"/>
      </w:pPr>
      <w:r>
        <w:t>CSI reporting:</w:t>
      </w:r>
    </w:p>
    <w:p w14:paraId="22AECBE6" w14:textId="331E1EAB" w:rsidR="00C338F6" w:rsidRDefault="00C338F6" w:rsidP="00C338F6">
      <w:pPr>
        <w:pStyle w:val="ListParagraph"/>
        <w:numPr>
          <w:ilvl w:val="1"/>
          <w:numId w:val="34"/>
        </w:numPr>
        <w:spacing w:line="360" w:lineRule="auto"/>
        <w:ind w:firstLineChars="0"/>
      </w:pPr>
      <w:r>
        <w:t xml:space="preserve">CQI reporting: </w:t>
      </w:r>
      <w:r w:rsidR="008C5231">
        <w:t>8.2.2.2.2</w:t>
      </w:r>
    </w:p>
    <w:p w14:paraId="2F723252" w14:textId="2971CF02" w:rsidR="00C338F6" w:rsidRDefault="00C338F6" w:rsidP="00C338F6">
      <w:pPr>
        <w:pStyle w:val="ListParagraph"/>
        <w:numPr>
          <w:ilvl w:val="1"/>
          <w:numId w:val="34"/>
        </w:numPr>
        <w:spacing w:line="360" w:lineRule="auto"/>
        <w:ind w:firstLineChars="0"/>
      </w:pPr>
      <w:r>
        <w:t>PMI reporting:</w:t>
      </w:r>
      <w:r w:rsidR="008C5231">
        <w:t xml:space="preserve"> </w:t>
      </w:r>
      <w:r w:rsidR="00B5402B">
        <w:t>8.3.2.2.1</w:t>
      </w:r>
    </w:p>
    <w:p w14:paraId="0960D8DF" w14:textId="5CA6F40E" w:rsidR="00C338F6" w:rsidRDefault="00C338F6" w:rsidP="00C338F6">
      <w:pPr>
        <w:pStyle w:val="ListParagraph"/>
        <w:numPr>
          <w:ilvl w:val="1"/>
          <w:numId w:val="34"/>
        </w:numPr>
        <w:spacing w:line="360" w:lineRule="auto"/>
        <w:ind w:firstLineChars="0"/>
      </w:pPr>
      <w:r>
        <w:t>RI reporting:</w:t>
      </w:r>
      <w:r w:rsidR="00B5402B">
        <w:t xml:space="preserve"> </w:t>
      </w:r>
      <w:r w:rsidR="003D1520">
        <w:t>8.4.2.2</w:t>
      </w:r>
    </w:p>
    <w:p w14:paraId="4B4E0392" w14:textId="428A72FC" w:rsidR="00C2578D" w:rsidRDefault="00780D9E" w:rsidP="00F06CFD">
      <w:r>
        <w:t xml:space="preserve">To capture mIAB-MT demodulation requirement, </w:t>
      </w:r>
      <w:r w:rsidR="003E7C5B">
        <w:t>we suggest add</w:t>
      </w:r>
      <w:r w:rsidR="007E4ACA">
        <w:t>ing</w:t>
      </w:r>
      <w:r w:rsidR="003E7C5B">
        <w:t xml:space="preserve"> a new </w:t>
      </w:r>
      <w:r w:rsidR="007D4E65">
        <w:t>section in TS38.174 to specify which test shall be reused for PDSCH, PDCCH and CSI reporting.</w:t>
      </w:r>
    </w:p>
    <w:p w14:paraId="7824BE74" w14:textId="418680AB" w:rsidR="00DB4D62" w:rsidRPr="003261C6" w:rsidRDefault="00DB4D62" w:rsidP="00F06CFD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 xml:space="preserve">Proposal </w:t>
      </w:r>
      <w:r w:rsidR="00C6131C">
        <w:rPr>
          <w:b/>
          <w:bCs/>
          <w:i/>
          <w:iCs/>
        </w:rPr>
        <w:t>3</w:t>
      </w:r>
      <w:r w:rsidRPr="003261C6">
        <w:rPr>
          <w:b/>
          <w:bCs/>
          <w:i/>
          <w:iCs/>
        </w:rPr>
        <w:t>:</w:t>
      </w:r>
      <w:r w:rsidR="0028070B">
        <w:rPr>
          <w:b/>
          <w:bCs/>
          <w:i/>
          <w:iCs/>
        </w:rPr>
        <w:t xml:space="preserve"> </w:t>
      </w:r>
      <w:r w:rsidR="00A926E1">
        <w:rPr>
          <w:b/>
          <w:bCs/>
          <w:i/>
          <w:iCs/>
        </w:rPr>
        <w:t>Add a new section in TS38.174 to specify the test cases for mIAB-</w:t>
      </w:r>
      <w:proofErr w:type="gramStart"/>
      <w:r w:rsidR="00A926E1">
        <w:rPr>
          <w:b/>
          <w:bCs/>
          <w:i/>
          <w:iCs/>
        </w:rPr>
        <w:t>MT</w:t>
      </w:r>
      <w:r w:rsidR="003469C6">
        <w:rPr>
          <w:b/>
          <w:bCs/>
          <w:i/>
          <w:iCs/>
        </w:rPr>
        <w:t>, and</w:t>
      </w:r>
      <w:proofErr w:type="gramEnd"/>
      <w:r w:rsidR="003469C6">
        <w:rPr>
          <w:b/>
          <w:bCs/>
          <w:i/>
          <w:iCs/>
        </w:rPr>
        <w:t xml:space="preserve"> copy the applicable requirement into the new section in TS38.174</w:t>
      </w:r>
    </w:p>
    <w:p w14:paraId="0F70796A" w14:textId="462AE388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mIAB-DU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2AEDF9B3" w14:textId="000ACEA2" w:rsidR="009C18CF" w:rsidRPr="007E2AE8" w:rsidRDefault="00F6407C" w:rsidP="00473CAA">
      <w:r>
        <w:t xml:space="preserve">As for the reception of mIAB-DU, </w:t>
      </w:r>
      <w:r w:rsidR="007975D0">
        <w:t xml:space="preserve">Doppler shift and delay spread were considered </w:t>
      </w:r>
      <w:r w:rsidR="00A765D1">
        <w:t xml:space="preserve">in the previous release </w:t>
      </w:r>
      <w:r w:rsidR="007975D0">
        <w:t>due to it</w:t>
      </w:r>
      <w:r w:rsidR="00A765D1">
        <w:t xml:space="preserve">s service on </w:t>
      </w:r>
      <w:r w:rsidR="00904A9E">
        <w:t xml:space="preserve">moving NR UEs. With the </w:t>
      </w:r>
      <w:r w:rsidR="002A23E3">
        <w:t xml:space="preserve">additional mobility of IAB-node, the Doppler value can be </w:t>
      </w:r>
      <w:r w:rsidR="00D801A9">
        <w:t>relative</w:t>
      </w:r>
      <w:r w:rsidR="007D2097">
        <w:t xml:space="preserve">, and yet to bring no additional baseband processing </w:t>
      </w:r>
      <w:r w:rsidR="00813FE7">
        <w:t>to support mobility functionality.</w:t>
      </w:r>
      <w:r w:rsidR="009C18CF">
        <w:t xml:space="preserve"> According to the current RAN4 RF agreements, </w:t>
      </w:r>
      <w:r w:rsidR="0008160E">
        <w:t xml:space="preserve">only service to onboard UEs is considered, </w:t>
      </w:r>
      <w:r w:rsidR="00086D92">
        <w:t xml:space="preserve">which simplifies the </w:t>
      </w:r>
      <w:r w:rsidR="00086D92">
        <w:lastRenderedPageBreak/>
        <w:t xml:space="preserve">scenario as </w:t>
      </w:r>
      <w:r w:rsidR="00231B62">
        <w:t>same as a pico cell</w:t>
      </w:r>
      <w:r w:rsidR="002023F8">
        <w:t xml:space="preserve"> so that the channel model would be LOS with </w:t>
      </w:r>
      <w:r w:rsidR="00FE7F2F">
        <w:t xml:space="preserve">minor impact from delay </w:t>
      </w:r>
      <w:r w:rsidR="00CC09AB">
        <w:t xml:space="preserve">spread and Doppler. </w:t>
      </w:r>
      <w:r w:rsidR="00397DDE">
        <w:t xml:space="preserve">Given such considerations, </w:t>
      </w:r>
      <w:r w:rsidR="00352D8D">
        <w:t xml:space="preserve">the legacy IAB-DU requirements, including PUSCH, PUCCH and PRACH, </w:t>
      </w:r>
      <w:r w:rsidR="000E209A">
        <w:t>can be reused with TDLA channel con</w:t>
      </w:r>
      <w:r w:rsidR="00085ECD">
        <w:t>dition.</w:t>
      </w:r>
    </w:p>
    <w:p w14:paraId="574670E1" w14:textId="5055DCD3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 w:rsidR="00551D1C">
        <w:rPr>
          <w:b/>
          <w:bCs/>
          <w:i/>
          <w:iCs/>
        </w:rPr>
        <w:t>1</w:t>
      </w:r>
      <w:r w:rsidR="00473CAA" w:rsidRPr="00473CAA">
        <w:rPr>
          <w:b/>
          <w:bCs/>
          <w:i/>
          <w:iCs/>
        </w:rPr>
        <w:t xml:space="preserve">: </w:t>
      </w:r>
      <w:r w:rsidR="003F4CFA">
        <w:rPr>
          <w:b/>
          <w:bCs/>
          <w:i/>
          <w:iCs/>
        </w:rPr>
        <w:t>No additional baseband processing for the enhancement on the mobility of IAB-DU</w:t>
      </w:r>
    </w:p>
    <w:p w14:paraId="135E3F36" w14:textId="25D44C71" w:rsidR="00DB4D62" w:rsidRDefault="00DB4D62" w:rsidP="00473CA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C6131C">
        <w:rPr>
          <w:b/>
          <w:bCs/>
          <w:i/>
          <w:iCs/>
        </w:rPr>
        <w:t>4</w:t>
      </w:r>
      <w:r w:rsidR="003F4CFA">
        <w:rPr>
          <w:b/>
          <w:bCs/>
          <w:i/>
          <w:iCs/>
        </w:rPr>
        <w:t xml:space="preserve">: Reuse legacy IAB-DU requirements with </w:t>
      </w:r>
      <w:r w:rsidR="00D3701E">
        <w:rPr>
          <w:b/>
          <w:bCs/>
          <w:i/>
          <w:iCs/>
        </w:rPr>
        <w:t>TDLA</w:t>
      </w:r>
      <w:r w:rsidR="0042594A">
        <w:rPr>
          <w:b/>
          <w:bCs/>
          <w:i/>
          <w:iCs/>
        </w:rPr>
        <w:t>30</w:t>
      </w:r>
      <w:r w:rsidR="00283A09">
        <w:rPr>
          <w:b/>
          <w:bCs/>
          <w:i/>
          <w:iCs/>
        </w:rPr>
        <w:t>-10</w:t>
      </w:r>
      <w:r w:rsidR="00D3701E">
        <w:rPr>
          <w:b/>
          <w:bCs/>
          <w:i/>
          <w:iCs/>
        </w:rPr>
        <w:t xml:space="preserve"> channel condition, specific test cases can be further discussed.</w:t>
      </w:r>
    </w:p>
    <w:p w14:paraId="3481B9A1" w14:textId="582132EF" w:rsidR="00B62583" w:rsidRPr="00473CAA" w:rsidRDefault="00B62583" w:rsidP="00473CA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5: </w:t>
      </w:r>
      <w:r w:rsidR="003469C6">
        <w:rPr>
          <w:b/>
          <w:bCs/>
          <w:i/>
          <w:iCs/>
        </w:rPr>
        <w:t>Add a new section in TS38.174 to specify the test cases for mIAB-</w:t>
      </w:r>
      <w:proofErr w:type="gramStart"/>
      <w:r w:rsidR="003469C6">
        <w:rPr>
          <w:b/>
          <w:bCs/>
          <w:i/>
          <w:iCs/>
        </w:rPr>
        <w:t>DU, and</w:t>
      </w:r>
      <w:proofErr w:type="gramEnd"/>
      <w:r w:rsidR="003469C6">
        <w:rPr>
          <w:b/>
          <w:bCs/>
          <w:i/>
          <w:iCs/>
        </w:rPr>
        <w:t xml:space="preserve"> c</w:t>
      </w:r>
      <w:r>
        <w:rPr>
          <w:b/>
          <w:bCs/>
          <w:i/>
          <w:iCs/>
        </w:rPr>
        <w:t xml:space="preserve">opy the </w:t>
      </w:r>
      <w:r w:rsidR="009C2C63">
        <w:rPr>
          <w:b/>
          <w:bCs/>
          <w:i/>
          <w:iCs/>
        </w:rPr>
        <w:t>applicable requirement into the new section in TS38.174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5AA62AEA" w:rsidR="007B3841" w:rsidRDefault="00070AA9" w:rsidP="007B3841">
      <w:r>
        <w:t xml:space="preserve">In this contribution, </w:t>
      </w:r>
      <w:r w:rsidR="003A132B">
        <w:t xml:space="preserve">we </w:t>
      </w:r>
      <w:r w:rsidR="00473CAA">
        <w:t xml:space="preserve">shared </w:t>
      </w:r>
      <w:r w:rsidR="003261C6">
        <w:t>our views o</w:t>
      </w:r>
      <w:r w:rsidR="00DC293E">
        <w:t xml:space="preserve">n the demodulation </w:t>
      </w:r>
      <w:r w:rsidR="00FC3A74">
        <w:t>requirement for mIAB-MT and mIAB-DU.</w:t>
      </w:r>
    </w:p>
    <w:p w14:paraId="3F203111" w14:textId="73B6DA00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</w:t>
      </w:r>
      <w:r w:rsidR="003261C6">
        <w:t xml:space="preserve">and proposals </w:t>
      </w:r>
      <w:r w:rsidR="00C700D9">
        <w:t>as follows:</w:t>
      </w:r>
    </w:p>
    <w:p w14:paraId="25C9F21B" w14:textId="77777777" w:rsidR="00FC3A74" w:rsidRPr="00F926CE" w:rsidRDefault="00FC3A74" w:rsidP="00FC3A74">
      <w:pPr>
        <w:rPr>
          <w:b/>
          <w:bCs/>
          <w:i/>
          <w:iCs/>
        </w:rPr>
      </w:pPr>
      <w:r w:rsidRPr="00F926CE">
        <w:rPr>
          <w:b/>
          <w:bCs/>
          <w:i/>
          <w:iCs/>
        </w:rPr>
        <w:t>Proposal 1: Option 2: Reuse applicable legacy UE CSI requirements.</w:t>
      </w:r>
    </w:p>
    <w:p w14:paraId="4F59AFE1" w14:textId="77777777" w:rsidR="00FC3A74" w:rsidRPr="007D51DA" w:rsidRDefault="00FC3A74" w:rsidP="00FC3A74">
      <w:pPr>
        <w:rPr>
          <w:b/>
          <w:bCs/>
          <w:i/>
          <w:iCs/>
        </w:rPr>
      </w:pPr>
      <w:r w:rsidRPr="007D51DA">
        <w:rPr>
          <w:b/>
          <w:bCs/>
          <w:i/>
          <w:iCs/>
        </w:rPr>
        <w:t>Proposal 2: Option 1: TDLC300-100 for both PDSCH and PDCCH.</w:t>
      </w:r>
    </w:p>
    <w:p w14:paraId="79FD488E" w14:textId="77777777" w:rsidR="0087474F" w:rsidRPr="003261C6" w:rsidRDefault="0087474F" w:rsidP="0087474F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3261C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Add a new section in TS38.174 to specify the test cases for mIAB-</w:t>
      </w:r>
      <w:proofErr w:type="gramStart"/>
      <w:r>
        <w:rPr>
          <w:b/>
          <w:bCs/>
          <w:i/>
          <w:iCs/>
        </w:rPr>
        <w:t>MT, and</w:t>
      </w:r>
      <w:proofErr w:type="gramEnd"/>
      <w:r>
        <w:rPr>
          <w:b/>
          <w:bCs/>
          <w:i/>
          <w:iCs/>
        </w:rPr>
        <w:t xml:space="preserve"> copy the applicable requirement into the new section in TS38.174</w:t>
      </w:r>
    </w:p>
    <w:p w14:paraId="77E0C291" w14:textId="77777777" w:rsidR="00FC3A74" w:rsidRPr="00473CAA" w:rsidRDefault="00FC3A74" w:rsidP="00FC3A74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73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No additional baseband processing for the enhancement on the mobility of IAB-DU</w:t>
      </w:r>
    </w:p>
    <w:p w14:paraId="049523E0" w14:textId="77777777" w:rsidR="00FC3A74" w:rsidRDefault="00FC3A74" w:rsidP="00FC3A74">
      <w:pPr>
        <w:rPr>
          <w:b/>
          <w:bCs/>
          <w:i/>
          <w:iCs/>
        </w:rPr>
      </w:pPr>
      <w:r>
        <w:rPr>
          <w:b/>
          <w:bCs/>
          <w:i/>
          <w:iCs/>
        </w:rPr>
        <w:t>Proposal 4: Reuse legacy IAB-DU requirements with TDLA30-10 channel condition, specific test cases can be further discussed.</w:t>
      </w:r>
    </w:p>
    <w:p w14:paraId="5275D499" w14:textId="30CBB2E7" w:rsidR="0087474F" w:rsidRPr="00473CAA" w:rsidRDefault="0087474F" w:rsidP="00FC3A74">
      <w:pPr>
        <w:rPr>
          <w:b/>
          <w:bCs/>
          <w:i/>
          <w:iCs/>
        </w:rPr>
      </w:pPr>
      <w:r>
        <w:rPr>
          <w:b/>
          <w:bCs/>
          <w:i/>
          <w:iCs/>
        </w:rPr>
        <w:t>Proposal 5: Add a new section in TS38.174 to specify the test cases for mIAB-</w:t>
      </w:r>
      <w:proofErr w:type="gramStart"/>
      <w:r>
        <w:rPr>
          <w:b/>
          <w:bCs/>
          <w:i/>
          <w:iCs/>
        </w:rPr>
        <w:t>DU, and</w:t>
      </w:r>
      <w:proofErr w:type="gramEnd"/>
      <w:r>
        <w:rPr>
          <w:b/>
          <w:bCs/>
          <w:i/>
          <w:iCs/>
        </w:rPr>
        <w:t xml:space="preserve"> copy the applicable requirement into the new section in TS38.174</w:t>
      </w:r>
    </w:p>
    <w:p w14:paraId="512FA904" w14:textId="3DA6D76F" w:rsidR="00FC3A74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75BAD9F9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</w:t>
      </w:r>
      <w:r w:rsidR="001675FF">
        <w:rPr>
          <w:rFonts w:cstheme="minorHAnsi"/>
        </w:rPr>
        <w:t>4-2321144</w:t>
      </w:r>
      <w:r w:rsidR="00021F97">
        <w:rPr>
          <w:rFonts w:cstheme="minorHAnsi"/>
        </w:rPr>
        <w:t xml:space="preserve">: </w:t>
      </w:r>
      <w:r w:rsidR="00220F0E">
        <w:rPr>
          <w:rFonts w:cstheme="minorHAnsi"/>
        </w:rPr>
        <w:t xml:space="preserve">WF on </w:t>
      </w:r>
      <w:r w:rsidR="001675FF">
        <w:rPr>
          <w:rFonts w:cstheme="minorHAnsi"/>
        </w:rPr>
        <w:t>[109][329] NR_mobile_IAB_demod, Ericsson, RAN4 #109, Chicago, US.</w:t>
      </w:r>
    </w:p>
    <w:p w14:paraId="2D9767A0" w14:textId="27E98F13" w:rsidR="007A5A6F" w:rsidRPr="007A5A6F" w:rsidRDefault="007A5A6F" w:rsidP="004D7D83"/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941715"/>
    <w:multiLevelType w:val="hybridMultilevel"/>
    <w:tmpl w:val="5330BECC"/>
    <w:lvl w:ilvl="0" w:tplc="A16670EE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DE21314"/>
    <w:multiLevelType w:val="hybridMultilevel"/>
    <w:tmpl w:val="1B12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45689"/>
    <w:multiLevelType w:val="hybridMultilevel"/>
    <w:tmpl w:val="6720A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593D55"/>
    <w:multiLevelType w:val="hybridMultilevel"/>
    <w:tmpl w:val="3FEE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6"/>
  </w:num>
  <w:num w:numId="2" w16cid:durableId="834146327">
    <w:abstractNumId w:val="27"/>
  </w:num>
  <w:num w:numId="3" w16cid:durableId="1865484434">
    <w:abstractNumId w:val="17"/>
  </w:num>
  <w:num w:numId="4" w16cid:durableId="2146312762">
    <w:abstractNumId w:val="10"/>
  </w:num>
  <w:num w:numId="5" w16cid:durableId="2031641396">
    <w:abstractNumId w:val="30"/>
  </w:num>
  <w:num w:numId="6" w16cid:durableId="128134510">
    <w:abstractNumId w:val="19"/>
  </w:num>
  <w:num w:numId="7" w16cid:durableId="1475292992">
    <w:abstractNumId w:val="26"/>
  </w:num>
  <w:num w:numId="8" w16cid:durableId="16913741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32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21"/>
  </w:num>
  <w:num w:numId="13" w16cid:durableId="2082019418">
    <w:abstractNumId w:val="6"/>
  </w:num>
  <w:num w:numId="14" w16cid:durableId="306520468">
    <w:abstractNumId w:val="18"/>
  </w:num>
  <w:num w:numId="15" w16cid:durableId="1268925006">
    <w:abstractNumId w:val="31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3"/>
  </w:num>
  <w:num w:numId="20" w16cid:durableId="18360008">
    <w:abstractNumId w:val="2"/>
  </w:num>
  <w:num w:numId="21" w16cid:durableId="2101439842">
    <w:abstractNumId w:val="28"/>
  </w:num>
  <w:num w:numId="22" w16cid:durableId="661855488">
    <w:abstractNumId w:val="15"/>
  </w:num>
  <w:num w:numId="23" w16cid:durableId="1327709620">
    <w:abstractNumId w:val="24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9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  <w:num w:numId="30" w16cid:durableId="398282749">
    <w:abstractNumId w:val="22"/>
  </w:num>
  <w:num w:numId="31" w16cid:durableId="1352217760">
    <w:abstractNumId w:val="20"/>
  </w:num>
  <w:num w:numId="32" w16cid:durableId="1385327706">
    <w:abstractNumId w:val="13"/>
  </w:num>
  <w:num w:numId="33" w16cid:durableId="1207527883">
    <w:abstractNumId w:val="25"/>
  </w:num>
  <w:num w:numId="34" w16cid:durableId="12634938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60E"/>
    <w:rsid w:val="00004CBA"/>
    <w:rsid w:val="00004FBE"/>
    <w:rsid w:val="0000695F"/>
    <w:rsid w:val="00012610"/>
    <w:rsid w:val="00014BC4"/>
    <w:rsid w:val="00020CDA"/>
    <w:rsid w:val="00021B2E"/>
    <w:rsid w:val="00021F36"/>
    <w:rsid w:val="00021F97"/>
    <w:rsid w:val="00024B1E"/>
    <w:rsid w:val="000406C3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81111"/>
    <w:rsid w:val="0008160E"/>
    <w:rsid w:val="00085ECD"/>
    <w:rsid w:val="00086AEC"/>
    <w:rsid w:val="00086D92"/>
    <w:rsid w:val="000871CB"/>
    <w:rsid w:val="00087A37"/>
    <w:rsid w:val="000912F5"/>
    <w:rsid w:val="00092A79"/>
    <w:rsid w:val="000A084A"/>
    <w:rsid w:val="000A1A7D"/>
    <w:rsid w:val="000A3985"/>
    <w:rsid w:val="000B04BF"/>
    <w:rsid w:val="000B073D"/>
    <w:rsid w:val="000B3776"/>
    <w:rsid w:val="000B55D4"/>
    <w:rsid w:val="000C2794"/>
    <w:rsid w:val="000C6316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7841"/>
    <w:rsid w:val="000E209A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1540"/>
    <w:rsid w:val="00124B84"/>
    <w:rsid w:val="001271EF"/>
    <w:rsid w:val="00131A54"/>
    <w:rsid w:val="0013537E"/>
    <w:rsid w:val="00135617"/>
    <w:rsid w:val="00135E98"/>
    <w:rsid w:val="00137D02"/>
    <w:rsid w:val="0014027D"/>
    <w:rsid w:val="00141578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675FF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9703D"/>
    <w:rsid w:val="001A0B7E"/>
    <w:rsid w:val="001A3D19"/>
    <w:rsid w:val="001A4E3E"/>
    <w:rsid w:val="001A5A7F"/>
    <w:rsid w:val="001A6983"/>
    <w:rsid w:val="001B2E87"/>
    <w:rsid w:val="001B5051"/>
    <w:rsid w:val="001B6C4A"/>
    <w:rsid w:val="001C5B73"/>
    <w:rsid w:val="001D0936"/>
    <w:rsid w:val="001D0E62"/>
    <w:rsid w:val="001D3DC9"/>
    <w:rsid w:val="001D5EA9"/>
    <w:rsid w:val="001E10B1"/>
    <w:rsid w:val="001E6CEA"/>
    <w:rsid w:val="001E7DE0"/>
    <w:rsid w:val="001F736B"/>
    <w:rsid w:val="001F742E"/>
    <w:rsid w:val="002023F8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17677"/>
    <w:rsid w:val="00220F0E"/>
    <w:rsid w:val="002215BD"/>
    <w:rsid w:val="00221F9D"/>
    <w:rsid w:val="00226461"/>
    <w:rsid w:val="00227DD4"/>
    <w:rsid w:val="002300F6"/>
    <w:rsid w:val="00231935"/>
    <w:rsid w:val="00231B62"/>
    <w:rsid w:val="00233825"/>
    <w:rsid w:val="00233986"/>
    <w:rsid w:val="00234F11"/>
    <w:rsid w:val="00235A4C"/>
    <w:rsid w:val="0023616F"/>
    <w:rsid w:val="00241077"/>
    <w:rsid w:val="002417DD"/>
    <w:rsid w:val="00242D0B"/>
    <w:rsid w:val="00242E0D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4537"/>
    <w:rsid w:val="00265DDA"/>
    <w:rsid w:val="00270D4C"/>
    <w:rsid w:val="002726E9"/>
    <w:rsid w:val="00272919"/>
    <w:rsid w:val="00273A0D"/>
    <w:rsid w:val="002752E2"/>
    <w:rsid w:val="0028070B"/>
    <w:rsid w:val="00281B0B"/>
    <w:rsid w:val="00283A09"/>
    <w:rsid w:val="00283C5A"/>
    <w:rsid w:val="00285DF9"/>
    <w:rsid w:val="002925A1"/>
    <w:rsid w:val="002A04C9"/>
    <w:rsid w:val="002A06C1"/>
    <w:rsid w:val="002A23E3"/>
    <w:rsid w:val="002A3635"/>
    <w:rsid w:val="002B5DAE"/>
    <w:rsid w:val="002B66D7"/>
    <w:rsid w:val="002C0896"/>
    <w:rsid w:val="002C5FEF"/>
    <w:rsid w:val="002C63F4"/>
    <w:rsid w:val="002C7E13"/>
    <w:rsid w:val="002D5316"/>
    <w:rsid w:val="002D5674"/>
    <w:rsid w:val="002E0CF7"/>
    <w:rsid w:val="002E288F"/>
    <w:rsid w:val="002E2F5E"/>
    <w:rsid w:val="002E3084"/>
    <w:rsid w:val="002E53F2"/>
    <w:rsid w:val="002E58BE"/>
    <w:rsid w:val="002E6AE6"/>
    <w:rsid w:val="002F1584"/>
    <w:rsid w:val="002F2CBC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109"/>
    <w:rsid w:val="00321476"/>
    <w:rsid w:val="003261C6"/>
    <w:rsid w:val="00326D45"/>
    <w:rsid w:val="00330E54"/>
    <w:rsid w:val="00331A06"/>
    <w:rsid w:val="003326DE"/>
    <w:rsid w:val="00333D0C"/>
    <w:rsid w:val="00335C23"/>
    <w:rsid w:val="00336725"/>
    <w:rsid w:val="00336D57"/>
    <w:rsid w:val="00337846"/>
    <w:rsid w:val="00340CC8"/>
    <w:rsid w:val="00343E91"/>
    <w:rsid w:val="00345393"/>
    <w:rsid w:val="003469C6"/>
    <w:rsid w:val="00346B29"/>
    <w:rsid w:val="00350A43"/>
    <w:rsid w:val="00352D8D"/>
    <w:rsid w:val="0035322A"/>
    <w:rsid w:val="0035332A"/>
    <w:rsid w:val="003558D4"/>
    <w:rsid w:val="003613C6"/>
    <w:rsid w:val="00365FB7"/>
    <w:rsid w:val="00375618"/>
    <w:rsid w:val="003764DD"/>
    <w:rsid w:val="00382E72"/>
    <w:rsid w:val="003833D3"/>
    <w:rsid w:val="00385585"/>
    <w:rsid w:val="00386052"/>
    <w:rsid w:val="0038648C"/>
    <w:rsid w:val="00387FC5"/>
    <w:rsid w:val="003962A7"/>
    <w:rsid w:val="00397DDE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524"/>
    <w:rsid w:val="003C36BA"/>
    <w:rsid w:val="003D1520"/>
    <w:rsid w:val="003D1FD6"/>
    <w:rsid w:val="003D3CEE"/>
    <w:rsid w:val="003D5AA6"/>
    <w:rsid w:val="003E2C6B"/>
    <w:rsid w:val="003E5B6C"/>
    <w:rsid w:val="003E6EF2"/>
    <w:rsid w:val="003E7162"/>
    <w:rsid w:val="003E7C5B"/>
    <w:rsid w:val="003F282C"/>
    <w:rsid w:val="003F40E0"/>
    <w:rsid w:val="003F4CFA"/>
    <w:rsid w:val="00400053"/>
    <w:rsid w:val="00402DF5"/>
    <w:rsid w:val="00403218"/>
    <w:rsid w:val="00403A1D"/>
    <w:rsid w:val="0040439D"/>
    <w:rsid w:val="00405072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94A"/>
    <w:rsid w:val="00425E6D"/>
    <w:rsid w:val="0042649C"/>
    <w:rsid w:val="00426EE0"/>
    <w:rsid w:val="0044091A"/>
    <w:rsid w:val="00440C0A"/>
    <w:rsid w:val="004411CA"/>
    <w:rsid w:val="004414E6"/>
    <w:rsid w:val="00441A5F"/>
    <w:rsid w:val="00441EC1"/>
    <w:rsid w:val="00442567"/>
    <w:rsid w:val="004437A8"/>
    <w:rsid w:val="004437AE"/>
    <w:rsid w:val="004441B4"/>
    <w:rsid w:val="00445654"/>
    <w:rsid w:val="004461F8"/>
    <w:rsid w:val="0044645D"/>
    <w:rsid w:val="004512CA"/>
    <w:rsid w:val="00456FF9"/>
    <w:rsid w:val="00457C27"/>
    <w:rsid w:val="00457C5E"/>
    <w:rsid w:val="00462C24"/>
    <w:rsid w:val="004651EB"/>
    <w:rsid w:val="0046654C"/>
    <w:rsid w:val="00467056"/>
    <w:rsid w:val="0046705B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975C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36A3"/>
    <w:rsid w:val="004E5B76"/>
    <w:rsid w:val="004E713C"/>
    <w:rsid w:val="004F1AFA"/>
    <w:rsid w:val="004F556D"/>
    <w:rsid w:val="004F60F9"/>
    <w:rsid w:val="004F7570"/>
    <w:rsid w:val="004F774A"/>
    <w:rsid w:val="0050049C"/>
    <w:rsid w:val="0050158A"/>
    <w:rsid w:val="00501CAF"/>
    <w:rsid w:val="0050238A"/>
    <w:rsid w:val="00503B82"/>
    <w:rsid w:val="00504D87"/>
    <w:rsid w:val="005068CA"/>
    <w:rsid w:val="0051044D"/>
    <w:rsid w:val="0051079A"/>
    <w:rsid w:val="0051277D"/>
    <w:rsid w:val="00513324"/>
    <w:rsid w:val="005137A4"/>
    <w:rsid w:val="00515100"/>
    <w:rsid w:val="00517832"/>
    <w:rsid w:val="00520CD0"/>
    <w:rsid w:val="00524C62"/>
    <w:rsid w:val="00525A9B"/>
    <w:rsid w:val="00526F9D"/>
    <w:rsid w:val="00527C23"/>
    <w:rsid w:val="005343DF"/>
    <w:rsid w:val="00536959"/>
    <w:rsid w:val="0054030B"/>
    <w:rsid w:val="00541731"/>
    <w:rsid w:val="00544694"/>
    <w:rsid w:val="00551D1C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8682F"/>
    <w:rsid w:val="005929ED"/>
    <w:rsid w:val="00593B09"/>
    <w:rsid w:val="00596637"/>
    <w:rsid w:val="00596F87"/>
    <w:rsid w:val="005A260C"/>
    <w:rsid w:val="005A7C38"/>
    <w:rsid w:val="005B0A08"/>
    <w:rsid w:val="005B32C4"/>
    <w:rsid w:val="005B4BA6"/>
    <w:rsid w:val="005C31B2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174E"/>
    <w:rsid w:val="005E26DF"/>
    <w:rsid w:val="005E5A34"/>
    <w:rsid w:val="005E6D28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3851"/>
    <w:rsid w:val="006259D0"/>
    <w:rsid w:val="00625F9F"/>
    <w:rsid w:val="00626DB3"/>
    <w:rsid w:val="006276CE"/>
    <w:rsid w:val="00630C0B"/>
    <w:rsid w:val="006345EE"/>
    <w:rsid w:val="006352A8"/>
    <w:rsid w:val="00642EC2"/>
    <w:rsid w:val="0064301B"/>
    <w:rsid w:val="0064388A"/>
    <w:rsid w:val="00644315"/>
    <w:rsid w:val="00645487"/>
    <w:rsid w:val="00651566"/>
    <w:rsid w:val="00651A90"/>
    <w:rsid w:val="0065332E"/>
    <w:rsid w:val="00654837"/>
    <w:rsid w:val="006567C2"/>
    <w:rsid w:val="006627F5"/>
    <w:rsid w:val="00665B08"/>
    <w:rsid w:val="006660C6"/>
    <w:rsid w:val="00666BA8"/>
    <w:rsid w:val="00670D28"/>
    <w:rsid w:val="006720AC"/>
    <w:rsid w:val="00676BAD"/>
    <w:rsid w:val="00677112"/>
    <w:rsid w:val="006779A8"/>
    <w:rsid w:val="00677DBD"/>
    <w:rsid w:val="006906EA"/>
    <w:rsid w:val="00690861"/>
    <w:rsid w:val="0069352B"/>
    <w:rsid w:val="00695CA4"/>
    <w:rsid w:val="006973E4"/>
    <w:rsid w:val="00697AF9"/>
    <w:rsid w:val="006A0F14"/>
    <w:rsid w:val="006A5EFA"/>
    <w:rsid w:val="006A6CD3"/>
    <w:rsid w:val="006B0562"/>
    <w:rsid w:val="006B2339"/>
    <w:rsid w:val="006B7657"/>
    <w:rsid w:val="006C2FDB"/>
    <w:rsid w:val="006D19AE"/>
    <w:rsid w:val="006D19CA"/>
    <w:rsid w:val="006D1C01"/>
    <w:rsid w:val="006D2119"/>
    <w:rsid w:val="006D4F04"/>
    <w:rsid w:val="006D5AD8"/>
    <w:rsid w:val="006D6079"/>
    <w:rsid w:val="006D6CD1"/>
    <w:rsid w:val="006D7CC8"/>
    <w:rsid w:val="006D7F20"/>
    <w:rsid w:val="006E0045"/>
    <w:rsid w:val="006E2266"/>
    <w:rsid w:val="006E2C28"/>
    <w:rsid w:val="006E603A"/>
    <w:rsid w:val="006E633E"/>
    <w:rsid w:val="006E6597"/>
    <w:rsid w:val="006F1D84"/>
    <w:rsid w:val="006F4625"/>
    <w:rsid w:val="006F5558"/>
    <w:rsid w:val="006F769D"/>
    <w:rsid w:val="006F7C66"/>
    <w:rsid w:val="00712B76"/>
    <w:rsid w:val="007132D9"/>
    <w:rsid w:val="00713BB4"/>
    <w:rsid w:val="00713FBB"/>
    <w:rsid w:val="00715180"/>
    <w:rsid w:val="00715F6F"/>
    <w:rsid w:val="00716F1A"/>
    <w:rsid w:val="0072106B"/>
    <w:rsid w:val="00722C15"/>
    <w:rsid w:val="00723BC0"/>
    <w:rsid w:val="007268E1"/>
    <w:rsid w:val="00726C13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DC1"/>
    <w:rsid w:val="00761F33"/>
    <w:rsid w:val="007630D6"/>
    <w:rsid w:val="00763293"/>
    <w:rsid w:val="007662FB"/>
    <w:rsid w:val="00767F50"/>
    <w:rsid w:val="00780D9E"/>
    <w:rsid w:val="00782528"/>
    <w:rsid w:val="00782EFA"/>
    <w:rsid w:val="00792242"/>
    <w:rsid w:val="007945F2"/>
    <w:rsid w:val="00795C92"/>
    <w:rsid w:val="007975D0"/>
    <w:rsid w:val="007A0379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B6ED1"/>
    <w:rsid w:val="007B7CD4"/>
    <w:rsid w:val="007C063C"/>
    <w:rsid w:val="007C11A6"/>
    <w:rsid w:val="007C7DAA"/>
    <w:rsid w:val="007D1E68"/>
    <w:rsid w:val="007D2097"/>
    <w:rsid w:val="007D2D48"/>
    <w:rsid w:val="007D321E"/>
    <w:rsid w:val="007D4E65"/>
    <w:rsid w:val="007D51DA"/>
    <w:rsid w:val="007D73E7"/>
    <w:rsid w:val="007E0726"/>
    <w:rsid w:val="007E078C"/>
    <w:rsid w:val="007E2023"/>
    <w:rsid w:val="007E2AE8"/>
    <w:rsid w:val="007E3758"/>
    <w:rsid w:val="007E4ACA"/>
    <w:rsid w:val="007F1928"/>
    <w:rsid w:val="007F266C"/>
    <w:rsid w:val="007F4A89"/>
    <w:rsid w:val="007F4E3D"/>
    <w:rsid w:val="007F669C"/>
    <w:rsid w:val="00800738"/>
    <w:rsid w:val="00800C81"/>
    <w:rsid w:val="008018F2"/>
    <w:rsid w:val="00806573"/>
    <w:rsid w:val="00806810"/>
    <w:rsid w:val="00807106"/>
    <w:rsid w:val="0080761D"/>
    <w:rsid w:val="008078B3"/>
    <w:rsid w:val="00807F42"/>
    <w:rsid w:val="00811FBB"/>
    <w:rsid w:val="00813FE7"/>
    <w:rsid w:val="0081422E"/>
    <w:rsid w:val="008173FA"/>
    <w:rsid w:val="00820FC8"/>
    <w:rsid w:val="00821DF5"/>
    <w:rsid w:val="00824842"/>
    <w:rsid w:val="00825E61"/>
    <w:rsid w:val="008273E5"/>
    <w:rsid w:val="00831577"/>
    <w:rsid w:val="00831866"/>
    <w:rsid w:val="00832F0E"/>
    <w:rsid w:val="00833DF8"/>
    <w:rsid w:val="0084504F"/>
    <w:rsid w:val="00845DD4"/>
    <w:rsid w:val="008565A1"/>
    <w:rsid w:val="0085761F"/>
    <w:rsid w:val="00861D09"/>
    <w:rsid w:val="00863384"/>
    <w:rsid w:val="00863F7A"/>
    <w:rsid w:val="008733B5"/>
    <w:rsid w:val="008734F7"/>
    <w:rsid w:val="0087474F"/>
    <w:rsid w:val="00875B72"/>
    <w:rsid w:val="00880D7A"/>
    <w:rsid w:val="00884AD1"/>
    <w:rsid w:val="00885C88"/>
    <w:rsid w:val="0089011A"/>
    <w:rsid w:val="00890699"/>
    <w:rsid w:val="008908B3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C5231"/>
    <w:rsid w:val="008E0E19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4A9E"/>
    <w:rsid w:val="00904DBA"/>
    <w:rsid w:val="00906C81"/>
    <w:rsid w:val="00906CCD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0FBD"/>
    <w:rsid w:val="009321D4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5DDE"/>
    <w:rsid w:val="009672BF"/>
    <w:rsid w:val="0097511B"/>
    <w:rsid w:val="00975845"/>
    <w:rsid w:val="0097795F"/>
    <w:rsid w:val="00982F95"/>
    <w:rsid w:val="00983070"/>
    <w:rsid w:val="009853C4"/>
    <w:rsid w:val="00986518"/>
    <w:rsid w:val="00986AC5"/>
    <w:rsid w:val="00991076"/>
    <w:rsid w:val="00991535"/>
    <w:rsid w:val="00997470"/>
    <w:rsid w:val="00997CBD"/>
    <w:rsid w:val="009A057C"/>
    <w:rsid w:val="009A0FD4"/>
    <w:rsid w:val="009A118B"/>
    <w:rsid w:val="009A2E7D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18CF"/>
    <w:rsid w:val="009C29BB"/>
    <w:rsid w:val="009C2C63"/>
    <w:rsid w:val="009C43C2"/>
    <w:rsid w:val="009C6580"/>
    <w:rsid w:val="009D02D8"/>
    <w:rsid w:val="009D15CE"/>
    <w:rsid w:val="009D1759"/>
    <w:rsid w:val="009D2AD9"/>
    <w:rsid w:val="009D49A4"/>
    <w:rsid w:val="009D4A98"/>
    <w:rsid w:val="009D6156"/>
    <w:rsid w:val="009D68A2"/>
    <w:rsid w:val="009D7913"/>
    <w:rsid w:val="009E7D71"/>
    <w:rsid w:val="009F0012"/>
    <w:rsid w:val="009F0175"/>
    <w:rsid w:val="009F1778"/>
    <w:rsid w:val="009F1E97"/>
    <w:rsid w:val="009F23CA"/>
    <w:rsid w:val="009F2CB8"/>
    <w:rsid w:val="009F3676"/>
    <w:rsid w:val="009F43AF"/>
    <w:rsid w:val="009F4C68"/>
    <w:rsid w:val="009F502D"/>
    <w:rsid w:val="009F686D"/>
    <w:rsid w:val="009F6F55"/>
    <w:rsid w:val="00A0489C"/>
    <w:rsid w:val="00A04D23"/>
    <w:rsid w:val="00A1176F"/>
    <w:rsid w:val="00A12186"/>
    <w:rsid w:val="00A12448"/>
    <w:rsid w:val="00A12485"/>
    <w:rsid w:val="00A14E01"/>
    <w:rsid w:val="00A156B0"/>
    <w:rsid w:val="00A169D6"/>
    <w:rsid w:val="00A20043"/>
    <w:rsid w:val="00A2170D"/>
    <w:rsid w:val="00A23773"/>
    <w:rsid w:val="00A2420F"/>
    <w:rsid w:val="00A2750C"/>
    <w:rsid w:val="00A30D0F"/>
    <w:rsid w:val="00A3504B"/>
    <w:rsid w:val="00A36DC2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4E46"/>
    <w:rsid w:val="00A57B56"/>
    <w:rsid w:val="00A617ED"/>
    <w:rsid w:val="00A631AB"/>
    <w:rsid w:val="00A63CA2"/>
    <w:rsid w:val="00A6611A"/>
    <w:rsid w:val="00A70601"/>
    <w:rsid w:val="00A717C3"/>
    <w:rsid w:val="00A72DFC"/>
    <w:rsid w:val="00A7578B"/>
    <w:rsid w:val="00A765D1"/>
    <w:rsid w:val="00A76888"/>
    <w:rsid w:val="00A76AAF"/>
    <w:rsid w:val="00A76C32"/>
    <w:rsid w:val="00A77F0A"/>
    <w:rsid w:val="00A81D49"/>
    <w:rsid w:val="00A82E67"/>
    <w:rsid w:val="00A841A5"/>
    <w:rsid w:val="00A85383"/>
    <w:rsid w:val="00A85955"/>
    <w:rsid w:val="00A85DFB"/>
    <w:rsid w:val="00A8740D"/>
    <w:rsid w:val="00A87F3B"/>
    <w:rsid w:val="00A90A63"/>
    <w:rsid w:val="00A926E1"/>
    <w:rsid w:val="00A948AE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16AF"/>
    <w:rsid w:val="00AD51BF"/>
    <w:rsid w:val="00AD7BE5"/>
    <w:rsid w:val="00AE4818"/>
    <w:rsid w:val="00AE5B6B"/>
    <w:rsid w:val="00AE7158"/>
    <w:rsid w:val="00AF00CC"/>
    <w:rsid w:val="00AF2414"/>
    <w:rsid w:val="00AF4850"/>
    <w:rsid w:val="00AF6DA4"/>
    <w:rsid w:val="00B03755"/>
    <w:rsid w:val="00B04469"/>
    <w:rsid w:val="00B05D64"/>
    <w:rsid w:val="00B079DF"/>
    <w:rsid w:val="00B109A2"/>
    <w:rsid w:val="00B10D8F"/>
    <w:rsid w:val="00B12223"/>
    <w:rsid w:val="00B21B64"/>
    <w:rsid w:val="00B23AC3"/>
    <w:rsid w:val="00B248C5"/>
    <w:rsid w:val="00B25B80"/>
    <w:rsid w:val="00B3163E"/>
    <w:rsid w:val="00B31BF9"/>
    <w:rsid w:val="00B346FF"/>
    <w:rsid w:val="00B370D9"/>
    <w:rsid w:val="00B406BD"/>
    <w:rsid w:val="00B40FDA"/>
    <w:rsid w:val="00B4687A"/>
    <w:rsid w:val="00B515BC"/>
    <w:rsid w:val="00B5402B"/>
    <w:rsid w:val="00B557DD"/>
    <w:rsid w:val="00B62583"/>
    <w:rsid w:val="00B6413D"/>
    <w:rsid w:val="00B6429B"/>
    <w:rsid w:val="00B64829"/>
    <w:rsid w:val="00B64948"/>
    <w:rsid w:val="00B66BA5"/>
    <w:rsid w:val="00B7208A"/>
    <w:rsid w:val="00B830FC"/>
    <w:rsid w:val="00B868D7"/>
    <w:rsid w:val="00B90D19"/>
    <w:rsid w:val="00B914C7"/>
    <w:rsid w:val="00B91B08"/>
    <w:rsid w:val="00B957EB"/>
    <w:rsid w:val="00BA2763"/>
    <w:rsid w:val="00BA497B"/>
    <w:rsid w:val="00BA5C26"/>
    <w:rsid w:val="00BA6F4E"/>
    <w:rsid w:val="00BB112B"/>
    <w:rsid w:val="00BB15B8"/>
    <w:rsid w:val="00BB6B2F"/>
    <w:rsid w:val="00BC3FD1"/>
    <w:rsid w:val="00BC5298"/>
    <w:rsid w:val="00BC66DD"/>
    <w:rsid w:val="00BD34AD"/>
    <w:rsid w:val="00BD589A"/>
    <w:rsid w:val="00BD6332"/>
    <w:rsid w:val="00BE0726"/>
    <w:rsid w:val="00BE158E"/>
    <w:rsid w:val="00BE1B43"/>
    <w:rsid w:val="00BE1F31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5C2D"/>
    <w:rsid w:val="00C161CF"/>
    <w:rsid w:val="00C17929"/>
    <w:rsid w:val="00C23E3F"/>
    <w:rsid w:val="00C2578D"/>
    <w:rsid w:val="00C257BE"/>
    <w:rsid w:val="00C277D3"/>
    <w:rsid w:val="00C27D43"/>
    <w:rsid w:val="00C30C27"/>
    <w:rsid w:val="00C338F6"/>
    <w:rsid w:val="00C3616B"/>
    <w:rsid w:val="00C37684"/>
    <w:rsid w:val="00C443FF"/>
    <w:rsid w:val="00C45518"/>
    <w:rsid w:val="00C45A77"/>
    <w:rsid w:val="00C464C5"/>
    <w:rsid w:val="00C47DF0"/>
    <w:rsid w:val="00C532C2"/>
    <w:rsid w:val="00C54004"/>
    <w:rsid w:val="00C558C8"/>
    <w:rsid w:val="00C55F99"/>
    <w:rsid w:val="00C57113"/>
    <w:rsid w:val="00C6037C"/>
    <w:rsid w:val="00C6090E"/>
    <w:rsid w:val="00C6131C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09AB"/>
    <w:rsid w:val="00CC45EB"/>
    <w:rsid w:val="00CC56E4"/>
    <w:rsid w:val="00CC66A5"/>
    <w:rsid w:val="00CC7797"/>
    <w:rsid w:val="00CD0A01"/>
    <w:rsid w:val="00CD30D2"/>
    <w:rsid w:val="00CD4CC5"/>
    <w:rsid w:val="00CD5968"/>
    <w:rsid w:val="00CD5C3F"/>
    <w:rsid w:val="00CD64A0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267E"/>
    <w:rsid w:val="00D32961"/>
    <w:rsid w:val="00D33A78"/>
    <w:rsid w:val="00D3701E"/>
    <w:rsid w:val="00D40BCB"/>
    <w:rsid w:val="00D47464"/>
    <w:rsid w:val="00D47675"/>
    <w:rsid w:val="00D511F7"/>
    <w:rsid w:val="00D519E0"/>
    <w:rsid w:val="00D52A5B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1A9"/>
    <w:rsid w:val="00D80721"/>
    <w:rsid w:val="00D84AAF"/>
    <w:rsid w:val="00D85F58"/>
    <w:rsid w:val="00D86332"/>
    <w:rsid w:val="00D87788"/>
    <w:rsid w:val="00D87821"/>
    <w:rsid w:val="00D92610"/>
    <w:rsid w:val="00D92F7A"/>
    <w:rsid w:val="00D93B6A"/>
    <w:rsid w:val="00D93BDD"/>
    <w:rsid w:val="00DA000B"/>
    <w:rsid w:val="00DA0A06"/>
    <w:rsid w:val="00DA3543"/>
    <w:rsid w:val="00DA7AFB"/>
    <w:rsid w:val="00DB168F"/>
    <w:rsid w:val="00DB1DE7"/>
    <w:rsid w:val="00DB47AA"/>
    <w:rsid w:val="00DB4C6D"/>
    <w:rsid w:val="00DB4D62"/>
    <w:rsid w:val="00DC293E"/>
    <w:rsid w:val="00DC2DAD"/>
    <w:rsid w:val="00DC4345"/>
    <w:rsid w:val="00DD1E82"/>
    <w:rsid w:val="00DD3AC4"/>
    <w:rsid w:val="00DE5911"/>
    <w:rsid w:val="00DF45D4"/>
    <w:rsid w:val="00DF4CCA"/>
    <w:rsid w:val="00DF6DFA"/>
    <w:rsid w:val="00E00071"/>
    <w:rsid w:val="00E039A5"/>
    <w:rsid w:val="00E04361"/>
    <w:rsid w:val="00E06469"/>
    <w:rsid w:val="00E10E66"/>
    <w:rsid w:val="00E12240"/>
    <w:rsid w:val="00E1295B"/>
    <w:rsid w:val="00E13223"/>
    <w:rsid w:val="00E14904"/>
    <w:rsid w:val="00E1588F"/>
    <w:rsid w:val="00E16852"/>
    <w:rsid w:val="00E16EDB"/>
    <w:rsid w:val="00E177B2"/>
    <w:rsid w:val="00E25226"/>
    <w:rsid w:val="00E25355"/>
    <w:rsid w:val="00E272E8"/>
    <w:rsid w:val="00E33AA9"/>
    <w:rsid w:val="00E36322"/>
    <w:rsid w:val="00E37886"/>
    <w:rsid w:val="00E423D1"/>
    <w:rsid w:val="00E44DB5"/>
    <w:rsid w:val="00E45536"/>
    <w:rsid w:val="00E46FBC"/>
    <w:rsid w:val="00E47A68"/>
    <w:rsid w:val="00E50670"/>
    <w:rsid w:val="00E536F4"/>
    <w:rsid w:val="00E56E5B"/>
    <w:rsid w:val="00E601D2"/>
    <w:rsid w:val="00E637F0"/>
    <w:rsid w:val="00E654A5"/>
    <w:rsid w:val="00E65854"/>
    <w:rsid w:val="00E71702"/>
    <w:rsid w:val="00E73F70"/>
    <w:rsid w:val="00E7426C"/>
    <w:rsid w:val="00E74B35"/>
    <w:rsid w:val="00E757A0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A44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3B62"/>
    <w:rsid w:val="00EB4A14"/>
    <w:rsid w:val="00EB51B3"/>
    <w:rsid w:val="00EB64BC"/>
    <w:rsid w:val="00EB6791"/>
    <w:rsid w:val="00EB6F1D"/>
    <w:rsid w:val="00EB765B"/>
    <w:rsid w:val="00EC2F31"/>
    <w:rsid w:val="00EC3B6A"/>
    <w:rsid w:val="00EC7B9F"/>
    <w:rsid w:val="00ED11B4"/>
    <w:rsid w:val="00ED1ED7"/>
    <w:rsid w:val="00ED6FC7"/>
    <w:rsid w:val="00EE2BF8"/>
    <w:rsid w:val="00EE5DC1"/>
    <w:rsid w:val="00EE76B8"/>
    <w:rsid w:val="00EF07BB"/>
    <w:rsid w:val="00EF163F"/>
    <w:rsid w:val="00EF4E56"/>
    <w:rsid w:val="00EF7D5E"/>
    <w:rsid w:val="00F0086E"/>
    <w:rsid w:val="00F04332"/>
    <w:rsid w:val="00F04FA4"/>
    <w:rsid w:val="00F05171"/>
    <w:rsid w:val="00F06B5D"/>
    <w:rsid w:val="00F06CFD"/>
    <w:rsid w:val="00F111F1"/>
    <w:rsid w:val="00F11C99"/>
    <w:rsid w:val="00F14087"/>
    <w:rsid w:val="00F1796C"/>
    <w:rsid w:val="00F21891"/>
    <w:rsid w:val="00F2263D"/>
    <w:rsid w:val="00F22DD7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52023"/>
    <w:rsid w:val="00F53B46"/>
    <w:rsid w:val="00F556EC"/>
    <w:rsid w:val="00F61E86"/>
    <w:rsid w:val="00F63F09"/>
    <w:rsid w:val="00F6407C"/>
    <w:rsid w:val="00F64B28"/>
    <w:rsid w:val="00F65A6F"/>
    <w:rsid w:val="00F745AF"/>
    <w:rsid w:val="00F76EA5"/>
    <w:rsid w:val="00F8272A"/>
    <w:rsid w:val="00F841E2"/>
    <w:rsid w:val="00F8437A"/>
    <w:rsid w:val="00F86EF5"/>
    <w:rsid w:val="00F9025F"/>
    <w:rsid w:val="00F9053C"/>
    <w:rsid w:val="00F926CE"/>
    <w:rsid w:val="00F944A4"/>
    <w:rsid w:val="00F94601"/>
    <w:rsid w:val="00F97047"/>
    <w:rsid w:val="00FA00C9"/>
    <w:rsid w:val="00FA0972"/>
    <w:rsid w:val="00FA1AE6"/>
    <w:rsid w:val="00FA23DB"/>
    <w:rsid w:val="00FA2F7C"/>
    <w:rsid w:val="00FA39E8"/>
    <w:rsid w:val="00FA6BA6"/>
    <w:rsid w:val="00FB38DC"/>
    <w:rsid w:val="00FB5820"/>
    <w:rsid w:val="00FB65A7"/>
    <w:rsid w:val="00FB6A15"/>
    <w:rsid w:val="00FB7904"/>
    <w:rsid w:val="00FC3A7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7F2F"/>
    <w:rsid w:val="00FF0CB1"/>
    <w:rsid w:val="00FF21A9"/>
    <w:rsid w:val="00FF2D40"/>
    <w:rsid w:val="00FF32B4"/>
    <w:rsid w:val="00FF4490"/>
    <w:rsid w:val="00FF5595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locked/>
    <w:rsid w:val="000A1A7D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0A1A7D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540</cp:revision>
  <dcterms:created xsi:type="dcterms:W3CDTF">2023-04-03T09:03:00Z</dcterms:created>
  <dcterms:modified xsi:type="dcterms:W3CDTF">2024-02-19T14:45:00Z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